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00"/>
        <w:jc w:val="center"/>
      </w:pPr>
      <w:r>
        <w:rPr>
          <w:b/>
          <w:bCs/>
          <w:color w:val="1F2D50"/>
          <w:sz w:val="44"/>
          <w:szCs w:val="44"/>
        </w:rPr>
        <w:t xml:space="preserve">ArtisBooks</w:t>
      </w:r>
    </w:p>
    <w:p>
      <w:pPr>
        <w:spacing w:after="120"/>
        <w:jc w:val="center"/>
      </w:pPr>
      <w:r>
        <w:rPr>
          <w:b/>
          <w:bCs/>
          <w:color w:val="E9622F"/>
          <w:sz w:val="26"/>
          <w:szCs w:val="26"/>
        </w:rPr>
        <w:t xml:space="preserve">Privacy Policy</w:t>
      </w:r>
    </w:p>
    <w:p>
      <w:pPr>
        <w:spacing w:after="80"/>
        <w:jc w:val="center"/>
      </w:pPr>
      <w:r>
        <w:rPr>
          <w:i/>
          <w:iCs/>
          <w:color w:val="555555"/>
          <w:sz w:val="19"/>
          <w:szCs w:val="19"/>
        </w:rPr>
        <w:t xml:space="preserve">How ArtisBooks collects, uses, and protects personal data</w:t>
      </w:r>
    </w:p>
    <w:p>
      <w:pPr>
        <w:spacing w:after="500"/>
        <w:jc w:val="center"/>
      </w:pPr>
      <w:r>
        <w:rPr>
          <w:color w:val="555555"/>
          <w:sz w:val="18"/>
          <w:szCs w:val="18"/>
        </w:rPr>
        <w:t xml:space="preserve">A product of Artis Asia Inc.  ·  Effective Date: [insert date]  ·  Last Updated: August 25, 2026</w:t>
      </w:r>
    </w:p>
    <w:p>
      <w:r>
        <w:br w:type="page"/>
      </w:r>
    </w:p>
    <w:p>
      <w:pPr>
        <w:spacing w:after="260"/>
      </w:pPr>
      <w:r>
        <w:rPr>
          <w:b/>
          <w:bCs/>
          <w:i/>
          <w:iCs/>
          <w:color w:val="E9622F"/>
          <w:sz w:val="19"/>
          <w:szCs w:val="19"/>
        </w:rPr>
        <w:t xml:space="preserve">DRAFT — For review by a Philippine lawyer before publishing or use. This template reflects standard SaaS practice and the general requirements of the Data Privacy Act of 2012 (RA 10173) and its IRR, but is not a substitute for legal advice. Bracketed items [like this] must be completed before publication.</w:t>
      </w:r>
    </w:p>
    <w:p>
      <w:pPr>
        <w:pStyle w:val="Heading1"/>
        <w:spacing w:after="140" w:before="320"/>
      </w:pPr>
      <w:r>
        <w:t xml:space="preserve">1. Introduction</w:t>
      </w:r>
    </w:p>
    <w:p>
      <w:pPr>
        <w:spacing w:after="140" w:line="270"/>
      </w:pPr>
      <w:r>
        <w:rPr>
          <w:color w:val="222222"/>
          <w:sz w:val="21"/>
          <w:szCs w:val="21"/>
        </w:rPr>
        <w:t xml:space="preserve">Artis Asia Inc. ("Artis Asia," "we," "us," "our") is committed to protecting personal data in compliance with the Data Privacy Act of 2012 (Republic Act No. 10173), its Implementing Rules and Regulations, and issuances of the National Privacy Commission (NPC). This Privacy Policy explains what personal data we collect through the ArtisBooks platform (the "Service"), why we collect it, how we use and protect it, and the rights available to data subjects.</w:t>
      </w:r>
    </w:p>
    <w:p>
      <w:pPr>
        <w:pStyle w:val="Heading1"/>
        <w:spacing w:after="140" w:before="320"/>
      </w:pPr>
      <w:r>
        <w:t xml:space="preserve">2. Personal Data We Collect</w:t>
      </w:r>
    </w:p>
    <w:p>
      <w:pPr>
        <w:pStyle w:val="Heading2"/>
        <w:spacing w:after="100" w:before="220"/>
      </w:pPr>
      <w:r>
        <w:t xml:space="preserve">2.1 Account and Billing Data</w:t>
      </w:r>
    </w:p>
    <w:p>
      <w:pPr>
        <w:pStyle w:val="ListParagraph"/>
        <w:numPr>
          <w:ilvl w:val="0"/>
          <w:numId w:val="1"/>
        </w:numPr>
        <w:spacing w:after="80"/>
      </w:pPr>
      <w:r>
        <w:rPr>
          <w:color w:val="222222"/>
          <w:sz w:val="21"/>
          <w:szCs w:val="21"/>
        </w:rPr>
        <w:t xml:space="preserve">Name, email address, phone number, and business/company details you provide when registering.</w:t>
      </w:r>
    </w:p>
    <w:p>
      <w:pPr>
        <w:pStyle w:val="ListParagraph"/>
        <w:numPr>
          <w:ilvl w:val="0"/>
          <w:numId w:val="1"/>
        </w:numPr>
        <w:spacing w:after="80"/>
      </w:pPr>
      <w:r>
        <w:rPr>
          <w:color w:val="222222"/>
          <w:sz w:val="21"/>
          <w:szCs w:val="21"/>
        </w:rPr>
        <w:t xml:space="preserve">Billing and payment information processed through our payment partners (we do not directly store full card numbers).</w:t>
      </w:r>
    </w:p>
    <w:p>
      <w:pPr>
        <w:pStyle w:val="Heading2"/>
        <w:spacing w:after="100" w:before="220"/>
      </w:pPr>
      <w:r>
        <w:t xml:space="preserve">2.2 Customer Data You Enter Into the Service</w:t>
      </w:r>
    </w:p>
    <w:p>
      <w:pPr>
        <w:spacing w:after="140" w:line="270"/>
      </w:pPr>
      <w:r>
        <w:rPr>
          <w:color w:val="222222"/>
          <w:sz w:val="21"/>
          <w:szCs w:val="21"/>
        </w:rPr>
        <w:t xml:space="preserve">As part of using ArtisBooks for bookkeeping, you may enter personal data relating to third parties in the course of managing your own business's books — for example, names and contact details of your customers, suppliers, and employees (e.g., for payroll or withholding tax records). With respect to this data, you act as the personal information controller and Artis Asia Inc. acts as a personal information processor on your behalf, processing it solely to provide the Service.</w:t>
      </w:r>
    </w:p>
    <w:p>
      <w:pPr>
        <w:pStyle w:val="Heading1"/>
        <w:spacing w:after="140" w:before="320"/>
      </w:pPr>
      <w:r>
        <w:t xml:space="preserve">3. Purpose and Legal Basis for Processing</w:t>
      </w:r>
    </w:p>
    <w:p>
      <w:pPr>
        <w:spacing w:after="140" w:line="270"/>
      </w:pPr>
      <w:r>
        <w:rPr>
          <w:color w:val="222222"/>
          <w:sz w:val="21"/>
          <w:szCs w:val="21"/>
        </w:rPr>
        <w:t xml:space="preserve">We process personal data to: provide and maintain the Service; process subscription payments; provide customer support; comply with legal and regulatory obligations; and improve the Service. Our legal bases include your consent, the necessity of processing to perform our contract with you, and compliance with legal obligations (including tax and corporate recordkeeping requirements).</w:t>
      </w:r>
    </w:p>
    <w:p>
      <w:pPr>
        <w:pStyle w:val="Heading1"/>
        <w:spacing w:after="140" w:before="320"/>
      </w:pPr>
      <w:r>
        <w:t xml:space="preserve">4. How We Share Data</w:t>
      </w:r>
    </w:p>
    <w:p>
      <w:pPr>
        <w:spacing w:after="140" w:line="270"/>
      </w:pPr>
      <w:r>
        <w:rPr>
          <w:color w:val="222222"/>
          <w:sz w:val="21"/>
          <w:szCs w:val="21"/>
        </w:rPr>
        <w:t xml:space="preserve">We do not sell personal data. We share personal data only with:</w:t>
      </w:r>
    </w:p>
    <w:p>
      <w:pPr>
        <w:pStyle w:val="ListParagraph"/>
        <w:numPr>
          <w:ilvl w:val="0"/>
          <w:numId w:val="1"/>
        </w:numPr>
        <w:spacing w:after="80"/>
      </w:pPr>
      <w:r>
        <w:rPr>
          <w:color w:val="222222"/>
          <w:sz w:val="21"/>
          <w:szCs w:val="21"/>
        </w:rPr>
        <w:t xml:space="preserve">Sub-processors that host or support the Service, including our cloud database and hosting provider (Supabase, whose infrastructure for ArtisBooks is located outside the Philippines); and our payment gateway partner(s) (e.g., PayMongo/Xendit) for billing.</w:t>
      </w:r>
    </w:p>
    <w:p>
      <w:pPr>
        <w:pStyle w:val="ListParagraph"/>
        <w:numPr>
          <w:ilvl w:val="0"/>
          <w:numId w:val="1"/>
        </w:numPr>
        <w:spacing w:after="80"/>
      </w:pPr>
      <w:r>
        <w:rPr>
          <w:color w:val="222222"/>
          <w:sz w:val="21"/>
          <w:szCs w:val="21"/>
        </w:rPr>
        <w:t xml:space="preserve">Government agencies and regulators, where required by law (for example, in response to a valid BIR or court order).</w:t>
      </w:r>
    </w:p>
    <w:p>
      <w:pPr>
        <w:pStyle w:val="ListParagraph"/>
        <w:numPr>
          <w:ilvl w:val="0"/>
          <w:numId w:val="1"/>
        </w:numPr>
        <w:spacing w:after="80"/>
      </w:pPr>
      <w:r>
        <w:rPr>
          <w:color w:val="222222"/>
          <w:sz w:val="21"/>
          <w:szCs w:val="21"/>
        </w:rPr>
        <w:t xml:space="preserve">Professional advisors (legal, accounting) bound by confidentiality, where necessary.</w:t>
      </w:r>
    </w:p>
    <w:p>
      <w:pPr>
        <w:spacing w:after="140" w:line="270"/>
      </w:pPr>
      <w:r>
        <w:rPr>
          <w:color w:val="222222"/>
          <w:sz w:val="21"/>
          <w:szCs w:val="21"/>
        </w:rPr>
        <w:t xml:space="preserve">Where personal data is transferred outside the Philippines to a sub-processor, we require that sub-processor to maintain a comparable standard of data protection, consistent with NPC guidance on cross-border data transfers.</w:t>
      </w:r>
    </w:p>
    <w:p>
      <w:pPr>
        <w:pStyle w:val="Heading1"/>
        <w:spacing w:after="140" w:before="320"/>
      </w:pPr>
      <w:r>
        <w:t xml:space="preserve">5. Data Retention</w:t>
      </w:r>
    </w:p>
    <w:p>
      <w:pPr>
        <w:spacing w:after="140" w:line="270"/>
      </w:pPr>
      <w:r>
        <w:rPr>
          <w:color w:val="222222"/>
          <w:sz w:val="21"/>
          <w:szCs w:val="21"/>
        </w:rPr>
        <w:t xml:space="preserve">We retain personal data for as long as your account remains active and as necessary to fulfill the purposes described in this Policy, including any applicable statutory retention periods for accounting and tax records under Philippine law. Following account termination, Customer Data is retained for a limited period to allow export (see Terms of Service, Section 5) and is thereafter deleted or anonymized, except where continued retention is required by law.</w:t>
      </w:r>
    </w:p>
    <w:p>
      <w:pPr>
        <w:pStyle w:val="Heading1"/>
        <w:spacing w:after="140" w:before="320"/>
      </w:pPr>
      <w:r>
        <w:t xml:space="preserve">6. Data Security</w:t>
      </w:r>
    </w:p>
    <w:p>
      <w:pPr>
        <w:spacing w:after="140" w:line="270"/>
      </w:pPr>
      <w:r>
        <w:rPr>
          <w:color w:val="222222"/>
          <w:sz w:val="21"/>
          <w:szCs w:val="21"/>
        </w:rPr>
        <w:t xml:space="preserve">We apply administrative, technical, and physical safeguards designed to protect personal data, including encryption in transit, role-based access controls, and database-level isolation between customer accounts (row-level security), so that one customer's data cannot be accessed by another. We review these safeguards periodically as the Service evolves.</w:t>
      </w:r>
    </w:p>
    <w:p>
      <w:pPr>
        <w:pStyle w:val="Heading1"/>
        <w:spacing w:after="140" w:before="320"/>
      </w:pPr>
      <w:r>
        <w:t xml:space="preserve">7. Your Rights as a Data Subject</w:t>
      </w:r>
    </w:p>
    <w:p>
      <w:pPr>
        <w:spacing w:after="140" w:line="270"/>
      </w:pPr>
      <w:r>
        <w:rPr>
          <w:color w:val="222222"/>
          <w:sz w:val="21"/>
          <w:szCs w:val="21"/>
        </w:rPr>
        <w:t xml:space="preserve">Under the Data Privacy Act, you (and, where applicable, the individuals whose data you enter into the Service) have the right to:</w:t>
      </w:r>
    </w:p>
    <w:p>
      <w:pPr>
        <w:pStyle w:val="ListParagraph"/>
        <w:numPr>
          <w:ilvl w:val="0"/>
          <w:numId w:val="1"/>
        </w:numPr>
        <w:spacing w:after="80"/>
      </w:pPr>
      <w:r>
        <w:rPr>
          <w:color w:val="222222"/>
          <w:sz w:val="21"/>
          <w:szCs w:val="21"/>
        </w:rPr>
        <w:t xml:space="preserve">Be informed that personal data will be, are being, or have been processed;</w:t>
      </w:r>
    </w:p>
    <w:p>
      <w:pPr>
        <w:pStyle w:val="ListParagraph"/>
        <w:numPr>
          <w:ilvl w:val="0"/>
          <w:numId w:val="1"/>
        </w:numPr>
        <w:spacing w:after="80"/>
      </w:pPr>
      <w:r>
        <w:rPr>
          <w:color w:val="222222"/>
          <w:sz w:val="21"/>
          <w:szCs w:val="21"/>
        </w:rPr>
        <w:t xml:space="preserve">Access your personal data upon reasonable demand;</w:t>
      </w:r>
    </w:p>
    <w:p>
      <w:pPr>
        <w:pStyle w:val="ListParagraph"/>
        <w:numPr>
          <w:ilvl w:val="0"/>
          <w:numId w:val="1"/>
        </w:numPr>
        <w:spacing w:after="80"/>
      </w:pPr>
      <w:r>
        <w:rPr>
          <w:color w:val="222222"/>
          <w:sz w:val="21"/>
          <w:szCs w:val="21"/>
        </w:rPr>
        <w:t xml:space="preserve">Object to processing, and request correction or updating of inaccurate data;</w:t>
      </w:r>
    </w:p>
    <w:p>
      <w:pPr>
        <w:pStyle w:val="ListParagraph"/>
        <w:numPr>
          <w:ilvl w:val="0"/>
          <w:numId w:val="1"/>
        </w:numPr>
        <w:spacing w:after="80"/>
      </w:pPr>
      <w:r>
        <w:rPr>
          <w:color w:val="222222"/>
          <w:sz w:val="21"/>
          <w:szCs w:val="21"/>
        </w:rPr>
        <w:t xml:space="preserve">Request erasure or blocking of personal data under circumstances allowed by law;</w:t>
      </w:r>
    </w:p>
    <w:p>
      <w:pPr>
        <w:pStyle w:val="ListParagraph"/>
        <w:numPr>
          <w:ilvl w:val="0"/>
          <w:numId w:val="1"/>
        </w:numPr>
        <w:spacing w:after="80"/>
      </w:pPr>
      <w:r>
        <w:rPr>
          <w:color w:val="222222"/>
          <w:sz w:val="21"/>
          <w:szCs w:val="21"/>
        </w:rPr>
        <w:t xml:space="preserve">Data portability, where technically feasible;</w:t>
      </w:r>
    </w:p>
    <w:p>
      <w:pPr>
        <w:pStyle w:val="ListParagraph"/>
        <w:numPr>
          <w:ilvl w:val="0"/>
          <w:numId w:val="1"/>
        </w:numPr>
        <w:spacing w:after="80"/>
      </w:pPr>
      <w:r>
        <w:rPr>
          <w:color w:val="222222"/>
          <w:sz w:val="21"/>
          <w:szCs w:val="21"/>
        </w:rPr>
        <w:t xml:space="preserve">Be indemnified for damages sustained due to inaccurate, incomplete, outdated, false, unlawfully obtained, or unauthorized use of personal data; and</w:t>
      </w:r>
    </w:p>
    <w:p>
      <w:pPr>
        <w:pStyle w:val="ListParagraph"/>
        <w:numPr>
          <w:ilvl w:val="0"/>
          <w:numId w:val="1"/>
        </w:numPr>
        <w:spacing w:after="80"/>
      </w:pPr>
      <w:r>
        <w:rPr>
          <w:color w:val="222222"/>
          <w:sz w:val="21"/>
          <w:szCs w:val="21"/>
        </w:rPr>
        <w:t xml:space="preserve">Lodge a complaint with the National Privacy Commission (privacy.gov.ph).</w:t>
      </w:r>
    </w:p>
    <w:p>
      <w:pPr>
        <w:spacing w:after="140" w:line="270"/>
      </w:pPr>
      <w:r>
        <w:rPr>
          <w:color w:val="222222"/>
          <w:sz w:val="21"/>
          <w:szCs w:val="21"/>
        </w:rPr>
        <w:t xml:space="preserve">Requests relating to these rights may be directed to our Data Protection Officer using the contact details in Section 10.</w:t>
      </w:r>
    </w:p>
    <w:p>
      <w:pPr>
        <w:pStyle w:val="Heading1"/>
        <w:spacing w:after="140" w:before="320"/>
      </w:pPr>
      <w:r>
        <w:t xml:space="preserve">8. Data Breach Notification</w:t>
      </w:r>
    </w:p>
    <w:p>
      <w:pPr>
        <w:spacing w:after="140" w:line="270"/>
      </w:pPr>
      <w:r>
        <w:rPr>
          <w:color w:val="222222"/>
          <w:sz w:val="21"/>
          <w:szCs w:val="21"/>
        </w:rPr>
        <w:t xml:space="preserve">In the event of a personal data breach that poses a real risk of serious harm, we will notify the National Privacy Commission and affected data subjects within the timeframe required by law, and take reasonable steps to mitigate harm.</w:t>
      </w:r>
    </w:p>
    <w:p>
      <w:pPr>
        <w:pStyle w:val="Heading1"/>
        <w:spacing w:after="140" w:before="320"/>
      </w:pPr>
      <w:r>
        <w:t xml:space="preserve">9. Cookies and Similar Technologies</w:t>
      </w:r>
    </w:p>
    <w:p>
      <w:pPr>
        <w:spacing w:after="140" w:line="270"/>
      </w:pPr>
      <w:r>
        <w:rPr>
          <w:color w:val="222222"/>
          <w:sz w:val="21"/>
          <w:szCs w:val="21"/>
        </w:rPr>
        <w:t xml:space="preserve">The Service may use essential cookies or local storage to maintain your login session and preferences. We do not use these technologies for third-party advertising.</w:t>
      </w:r>
    </w:p>
    <w:p>
      <w:pPr>
        <w:pStyle w:val="Heading1"/>
        <w:spacing w:after="140" w:before="320"/>
      </w:pPr>
      <w:r>
        <w:t xml:space="preserve">10. Data Protection Officer / Contact</w:t>
      </w:r>
    </w:p>
    <w:p>
      <w:pPr>
        <w:spacing w:after="140" w:line="270"/>
      </w:pPr>
      <w:r>
        <w:rPr>
          <w:color w:val="222222"/>
          <w:sz w:val="21"/>
          <w:szCs w:val="21"/>
        </w:rPr>
        <w:t xml:space="preserve">Our Data Protection Officer can be reached at: [insert DPO name and email, e.g., dpo@artisasiainc.com]. For general privacy inquiries, you may also contact [insert support email].</w:t>
      </w:r>
    </w:p>
    <w:p>
      <w:pPr>
        <w:pStyle w:val="Heading1"/>
        <w:spacing w:after="140" w:before="320"/>
      </w:pPr>
      <w:r>
        <w:t xml:space="preserve">11. Changes to This Policy</w:t>
      </w:r>
    </w:p>
    <w:p>
      <w:pPr>
        <w:spacing w:after="140" w:line="270"/>
      </w:pPr>
      <w:r>
        <w:rPr>
          <w:color w:val="222222"/>
          <w:sz w:val="21"/>
          <w:szCs w:val="21"/>
        </w:rPr>
        <w:t xml:space="preserve">We may update this Privacy Policy from time to time to reflect changes in our practices or legal requirements. Material changes will be communicated via email or in-app notice before taking effect.</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55555"/>
        <w:sz w:val="16"/>
        <w:szCs w:val="16"/>
      </w:rPr>
      <w:t xml:space="preserve">ArtisBooks (Artis Asia Inc.)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2026-08-26T02:48:44.997Z</dcterms:created>
  <dcterms:modified xsi:type="dcterms:W3CDTF">2026-08-26T02:48:44.997Z</dcterms:modified>
</cp:coreProperties>
</file>

<file path=docProps/custom.xml><?xml version="1.0" encoding="utf-8"?>
<Properties xmlns="http://schemas.openxmlformats.org/officeDocument/2006/custom-properties" xmlns:vt="http://schemas.openxmlformats.org/officeDocument/2006/docPropsVTypes"/>
</file>